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rPr>
      </w:pPr>
      <w:r w:rsidDel="00000000" w:rsidR="00000000" w:rsidRPr="00000000">
        <w:rPr>
          <w:rFonts w:ascii="Arial Narrow" w:cs="Arial Narrow" w:eastAsia="Arial Narrow" w:hAnsi="Arial Narrow"/>
          <w:b w:val="1"/>
          <w:color w:val="000000"/>
          <w:sz w:val="36"/>
          <w:szCs w:val="36"/>
          <w:rtl w:val="0"/>
        </w:rPr>
        <w:t xml:space="preserve">México, Top 5 en el Índice </w:t>
      </w:r>
      <w:r w:rsidDel="00000000" w:rsidR="00000000" w:rsidRPr="00000000">
        <w:rPr>
          <w:rFonts w:ascii="Arial Narrow" w:cs="Arial Narrow" w:eastAsia="Arial Narrow" w:hAnsi="Arial Narrow"/>
          <w:b w:val="1"/>
          <w:i w:val="1"/>
          <w:color w:val="000000"/>
          <w:sz w:val="36"/>
          <w:szCs w:val="36"/>
          <w:rtl w:val="0"/>
        </w:rPr>
        <w:t xml:space="preserve">Govtech</w:t>
      </w:r>
      <w:r w:rsidDel="00000000" w:rsidR="00000000" w:rsidRPr="00000000">
        <w:rPr>
          <w:rFonts w:ascii="Arial Narrow" w:cs="Arial Narrow" w:eastAsia="Arial Narrow" w:hAnsi="Arial Narrow"/>
          <w:b w:val="1"/>
          <w:color w:val="000000"/>
          <w:sz w:val="36"/>
          <w:szCs w:val="36"/>
          <w:rtl w:val="0"/>
        </w:rPr>
        <w:t xml:space="preserve"> 2020</w:t>
      </w: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CAF publicó el primer Índice Govtech de Iberoamérica, en el que México ocupa el 5 lugar entre 16 países de Iberoamérica, solo por detrás de España, Portugal, Chile y Brasil. </w:t>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color w:val="212529"/>
          <w:sz w:val="24"/>
          <w:szCs w:val="24"/>
          <w:highlight w:val="white"/>
        </w:rPr>
      </w:pPr>
      <w:r w:rsidDel="00000000" w:rsidR="00000000" w:rsidRPr="00000000">
        <w:rPr>
          <w:rFonts w:ascii="Arial Narrow" w:cs="Arial Narrow" w:eastAsia="Arial Narrow" w:hAnsi="Arial Narrow"/>
          <w:i w:val="1"/>
          <w:color w:val="7f7f7f"/>
          <w:rtl w:val="0"/>
        </w:rPr>
        <w:t xml:space="preserve">(México, 28 de julio de 2020).</w:t>
      </w:r>
      <w:r w:rsidDel="00000000" w:rsidR="00000000" w:rsidRPr="00000000">
        <w:rPr>
          <w:rFonts w:ascii="Arial Narrow" w:cs="Arial Narrow" w:eastAsia="Arial Narrow" w:hAnsi="Arial Narrow"/>
          <w:color w:val="7f7f7f"/>
          <w:sz w:val="24"/>
          <w:szCs w:val="24"/>
          <w:rtl w:val="0"/>
        </w:rPr>
        <w:t xml:space="preserve"> </w:t>
      </w:r>
      <w:r w:rsidDel="00000000" w:rsidR="00000000" w:rsidRPr="00000000">
        <w:rPr>
          <w:rFonts w:ascii="Arial Narrow" w:cs="Arial Narrow" w:eastAsia="Arial Narrow" w:hAnsi="Arial Narrow"/>
          <w:sz w:val="24"/>
          <w:szCs w:val="24"/>
          <w:rtl w:val="0"/>
        </w:rPr>
        <w:t xml:space="preserve">CAF -banco de desarrollo de América Latina- y Oxford Insights publicaron el </w:t>
      </w:r>
      <w:hyperlink r:id="rId6">
        <w:r w:rsidDel="00000000" w:rsidR="00000000" w:rsidRPr="00000000">
          <w:rPr>
            <w:rFonts w:ascii="Arial Narrow" w:cs="Arial Narrow" w:eastAsia="Arial Narrow" w:hAnsi="Arial Narrow"/>
            <w:color w:val="1155cc"/>
            <w:sz w:val="24"/>
            <w:szCs w:val="24"/>
            <w:u w:val="single"/>
            <w:rtl w:val="0"/>
          </w:rPr>
          <w:t xml:space="preserve">primer Índice </w:t>
        </w:r>
      </w:hyperlink>
      <w:hyperlink r:id="rId7">
        <w:r w:rsidDel="00000000" w:rsidR="00000000" w:rsidRPr="00000000">
          <w:rPr>
            <w:rFonts w:ascii="Arial Narrow" w:cs="Arial Narrow" w:eastAsia="Arial Narrow" w:hAnsi="Arial Narrow"/>
            <w:i w:val="1"/>
            <w:color w:val="1155cc"/>
            <w:sz w:val="24"/>
            <w:szCs w:val="24"/>
            <w:u w:val="single"/>
            <w:rtl w:val="0"/>
          </w:rPr>
          <w:t xml:space="preserve">GovTech</w:t>
        </w:r>
      </w:hyperlink>
      <w:hyperlink r:id="rId8">
        <w:r w:rsidDel="00000000" w:rsidR="00000000" w:rsidRPr="00000000">
          <w:rPr>
            <w:rFonts w:ascii="Arial Narrow" w:cs="Arial Narrow" w:eastAsia="Arial Narrow" w:hAnsi="Arial Narrow"/>
            <w:color w:val="1155cc"/>
            <w:sz w:val="24"/>
            <w:szCs w:val="24"/>
            <w:u w:val="single"/>
            <w:rtl w:val="0"/>
          </w:rPr>
          <w:t xml:space="preserve"> de Iberoamérica</w:t>
        </w:r>
      </w:hyperlink>
      <w:r w:rsidDel="00000000" w:rsidR="00000000" w:rsidRPr="00000000">
        <w:rPr>
          <w:rFonts w:ascii="Arial Narrow" w:cs="Arial Narrow" w:eastAsia="Arial Narrow" w:hAnsi="Arial Narrow"/>
          <w:sz w:val="24"/>
          <w:szCs w:val="24"/>
          <w:rtl w:val="0"/>
        </w:rPr>
        <w:t xml:space="preserve">, un indicador que</w:t>
      </w:r>
      <w:r w:rsidDel="00000000" w:rsidR="00000000" w:rsidRPr="00000000">
        <w:rPr>
          <w:rFonts w:ascii="Arial Narrow" w:cs="Arial Narrow" w:eastAsia="Arial Narrow" w:hAnsi="Arial Narrow"/>
          <w:color w:val="212529"/>
          <w:sz w:val="24"/>
          <w:szCs w:val="24"/>
          <w:highlight w:val="white"/>
          <w:rtl w:val="0"/>
        </w:rPr>
        <w:t xml:space="preserve"> analiza la madurez de los ecosistemas en los que startups y MiPyMes innovadoras trabajan con los gobiernos para resolver problemas públicos mediante el uso de datos y tecnologías digitales.</w:t>
      </w:r>
    </w:p>
    <w:p w:rsidR="00000000" w:rsidDel="00000000" w:rsidP="00000000" w:rsidRDefault="00000000" w:rsidRPr="00000000" w14:paraId="00000007">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color w:val="212529"/>
          <w:sz w:val="24"/>
          <w:szCs w:val="24"/>
        </w:rPr>
      </w:pPr>
      <w:r w:rsidDel="00000000" w:rsidR="00000000" w:rsidRPr="00000000">
        <w:rPr>
          <w:rFonts w:ascii="Arial Narrow" w:cs="Arial Narrow" w:eastAsia="Arial Narrow" w:hAnsi="Arial Narrow"/>
          <w:sz w:val="24"/>
          <w:szCs w:val="24"/>
          <w:rtl w:val="0"/>
        </w:rPr>
        <w:t xml:space="preserve">El Índice, encabezado por España con una puntuación de 6,6 sobre 10 y seguido de Portugal (6,2), Chile (5,3), Brasil (5,2), sitúa a México (5,2) en el quinto lugar. El reporte </w:t>
      </w:r>
      <w:r w:rsidDel="00000000" w:rsidR="00000000" w:rsidRPr="00000000">
        <w:rPr>
          <w:rFonts w:ascii="Arial Narrow" w:cs="Arial Narrow" w:eastAsia="Arial Narrow" w:hAnsi="Arial Narrow"/>
          <w:color w:val="212529"/>
          <w:sz w:val="24"/>
          <w:szCs w:val="24"/>
          <w:highlight w:val="white"/>
          <w:rtl w:val="0"/>
        </w:rPr>
        <w:t xml:space="preserve">toma como referencia 28 indicadores y desarrolla 7 dimensiones, agrupadas en tres pilares: startups, gobierno y contrataciones públicas. </w:t>
      </w: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212529"/>
          <w:sz w:val="24"/>
          <w:szCs w:val="24"/>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color w:val="212529"/>
          <w:sz w:val="24"/>
          <w:szCs w:val="24"/>
          <w:rtl w:val="0"/>
        </w:rPr>
        <w:t xml:space="preserve">México</w:t>
      </w:r>
      <w:r w:rsidDel="00000000" w:rsidR="00000000" w:rsidRPr="00000000">
        <w:rPr>
          <w:rFonts w:ascii="Arial Narrow" w:cs="Arial Narrow" w:eastAsia="Arial Narrow" w:hAnsi="Arial Narrow"/>
          <w:sz w:val="24"/>
          <w:szCs w:val="24"/>
          <w:rtl w:val="0"/>
        </w:rPr>
        <w:t xml:space="preserve"> se ubica muy por encima del promedio regional en el pilar de startups con una puntuación de 5.33, lo que, según Enrique Zapata, ejecutivo principal de la Dirección de Innovación Digital del Estado de CAF, refleja la existencia de un gran número de startups basados en datos y tecnología en el país, así como en el entorno de habilitadores digitales, especialmente por la agenda de datos abiertos. </w:t>
      </w:r>
    </w:p>
    <w:p w:rsidR="00000000" w:rsidDel="00000000" w:rsidP="00000000" w:rsidRDefault="00000000" w:rsidRPr="00000000" w14:paraId="0000000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cuanto al pilar de gobierno, México obtiene una puntuación por encima del promedio regional con 4.92 puntos, dado el avance en gobierno digital y trámites y servicios en línea. De acuerdo con el estudio, en el futuro, México aún requiere de políticas tales como un Fondo dedicado o una Estrategia Nacional </w:t>
      </w:r>
      <w:r w:rsidDel="00000000" w:rsidR="00000000" w:rsidRPr="00000000">
        <w:rPr>
          <w:rFonts w:ascii="Arial Narrow" w:cs="Arial Narrow" w:eastAsia="Arial Narrow" w:hAnsi="Arial Narrow"/>
          <w:i w:val="1"/>
          <w:sz w:val="24"/>
          <w:szCs w:val="24"/>
          <w:rtl w:val="0"/>
        </w:rPr>
        <w:t xml:space="preserve">Govtech</w:t>
      </w:r>
      <w:r w:rsidDel="00000000" w:rsidR="00000000" w:rsidRPr="00000000">
        <w:rPr>
          <w:rFonts w:ascii="Arial Narrow" w:cs="Arial Narrow" w:eastAsia="Arial Narrow" w:hAnsi="Arial Narrow"/>
          <w:sz w:val="24"/>
          <w:szCs w:val="24"/>
          <w:rtl w:val="0"/>
        </w:rPr>
        <w:t xml:space="preserve">, acciones que le corresponden al gobierno federal. </w:t>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último, la puntuación general de México para contrataciones públicas se sitúa ligeramente sobre el promedio de la región (5.47, pero hay una brecha significativa entre su puntaje para las dimensiones de marcos de contratación y cultura de contratación. En este sentido, la implementación de las regulaciones existentes hacen que sea más difícil para las startups </w:t>
      </w:r>
      <w:r w:rsidDel="00000000" w:rsidR="00000000" w:rsidRPr="00000000">
        <w:rPr>
          <w:rFonts w:ascii="Arial Narrow" w:cs="Arial Narrow" w:eastAsia="Arial Narrow" w:hAnsi="Arial Narrow"/>
          <w:i w:val="1"/>
          <w:sz w:val="24"/>
          <w:szCs w:val="24"/>
          <w:rtl w:val="0"/>
        </w:rPr>
        <w:t xml:space="preserve">govtech</w:t>
      </w:r>
      <w:r w:rsidDel="00000000" w:rsidR="00000000" w:rsidRPr="00000000">
        <w:rPr>
          <w:rFonts w:ascii="Arial Narrow" w:cs="Arial Narrow" w:eastAsia="Arial Narrow" w:hAnsi="Arial Narrow"/>
          <w:sz w:val="24"/>
          <w:szCs w:val="24"/>
          <w:rtl w:val="0"/>
        </w:rPr>
        <w:t xml:space="preserve"> competir con empresas más grandes y contratos gubernamentales seguros. </w:t>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todas formas, el gobierno ha mostrado la voluntad de aumentar la participación de las pymes en el sistema federal de adquisiciones: después de implementar importantes reformas de adquisiciones en 2009, México se fijó un objetivo que gradualmente apuntaría a otorgar el 35% de sus contratos públicos con pymes. Finalmente, la implementación del estándar de datos de contrataciones abiertas a nivel federal y diversos gobiernos de nivel estatal y municipal, es un avance fundamental para el futuro de </w:t>
      </w:r>
      <w:r w:rsidDel="00000000" w:rsidR="00000000" w:rsidRPr="00000000">
        <w:rPr>
          <w:rFonts w:ascii="Arial Narrow" w:cs="Arial Narrow" w:eastAsia="Arial Narrow" w:hAnsi="Arial Narrow"/>
          <w:i w:val="1"/>
          <w:sz w:val="24"/>
          <w:szCs w:val="24"/>
          <w:rtl w:val="0"/>
        </w:rPr>
        <w:t xml:space="preserve">govtech</w:t>
      </w:r>
      <w:r w:rsidDel="00000000" w:rsidR="00000000" w:rsidRPr="00000000">
        <w:rPr>
          <w:rFonts w:ascii="Arial Narrow" w:cs="Arial Narrow" w:eastAsia="Arial Narrow" w:hAnsi="Arial Narrow"/>
          <w:sz w:val="24"/>
          <w:szCs w:val="24"/>
          <w:rtl w:val="0"/>
        </w:rPr>
        <w:t xml:space="preserve"> en el país.</w:t>
      </w:r>
    </w:p>
    <w:p w:rsidR="00000000" w:rsidDel="00000000" w:rsidP="00000000" w:rsidRDefault="00000000" w:rsidRPr="00000000" w14:paraId="0000001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 caso de éxito en Guadalajara – Visor Urbano</w:t>
      </w:r>
    </w:p>
    <w:p w:rsidR="00000000" w:rsidDel="00000000" w:rsidP="00000000" w:rsidRDefault="00000000" w:rsidRPr="00000000" w14:paraId="00000014">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w:t>
      </w:r>
      <w:hyperlink r:id="rId9">
        <w:r w:rsidDel="00000000" w:rsidR="00000000" w:rsidRPr="00000000">
          <w:rPr>
            <w:rFonts w:ascii="Arial Narrow" w:cs="Arial Narrow" w:eastAsia="Arial Narrow" w:hAnsi="Arial Narrow"/>
            <w:color w:val="0000ff"/>
            <w:sz w:val="24"/>
            <w:szCs w:val="24"/>
            <w:u w:val="single"/>
            <w:rtl w:val="0"/>
          </w:rPr>
          <w:t xml:space="preserve">otro estudio realizado por CAF</w:t>
        </w:r>
      </w:hyperlink>
      <w:r w:rsidDel="00000000" w:rsidR="00000000" w:rsidRPr="00000000">
        <w:rPr>
          <w:rFonts w:ascii="Arial Narrow" w:cs="Arial Narrow" w:eastAsia="Arial Narrow" w:hAnsi="Arial Narrow"/>
          <w:sz w:val="24"/>
          <w:szCs w:val="24"/>
          <w:rtl w:val="0"/>
        </w:rPr>
        <w:t xml:space="preserve">, se destacan los avances de la iniciativa denominada Visor Urbano en Guadalajara, que permite que la gestión de trámites relacionados con el desarrollo y el ordenamiento territorial del gobierno sea completamente en línea. Visor Urbano tiene los siguientes objetivos:</w:t>
      </w:r>
    </w:p>
    <w:p w:rsidR="00000000" w:rsidDel="00000000" w:rsidP="00000000" w:rsidRDefault="00000000" w:rsidRPr="00000000" w14:paraId="00000016">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Prevenir la corrupción en el proceso de desarrollo urbano.</w:t>
      </w:r>
    </w:p>
    <w:p w:rsidR="00000000" w:rsidDel="00000000" w:rsidP="00000000" w:rsidRDefault="00000000" w:rsidRPr="00000000" w14:paraId="00000018">
      <w:pPr>
        <w:numPr>
          <w:ilvl w:val="0"/>
          <w:numId w:val="1"/>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Promover la toma de decisiones basadas en evidencia y fomentar ahorros de tiempo y dinero a los ciudadanos, digitalizando los trámites necesarios para la apertura de negocios y obtención de licencias de construcción.</w:t>
      </w:r>
    </w:p>
    <w:p w:rsidR="00000000" w:rsidDel="00000000" w:rsidP="00000000" w:rsidRDefault="00000000" w:rsidRPr="00000000" w14:paraId="0000001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medio de este tipo de iniciativas se implementan soluciones digitales para incrementar la eficiencia del gobierno, combatir la corrupción y promoción a la integridad para lograr uno de los rasgos importantes de una ciudad inteligente. Además, al documentar los retornos de inversión potenciales para los gobiernos, se descubrió que Visor Urbano, mediante la digitalización del catastro público, pudo ser, entre otros, uno de los factores para apoyar el incremento en la recaudación de impuesto predial por más de 20%. </w:t>
      </w:r>
    </w:p>
    <w:p w:rsidR="00000000" w:rsidDel="00000000" w:rsidP="00000000" w:rsidRDefault="00000000" w:rsidRPr="00000000" w14:paraId="0000001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Dentro de la agenda de innovación digital de CAF, la institución apoya al sector por medio de acciones puntuales entre las que destacan la generación de conocimiento, la formación de un observatorio </w:t>
      </w:r>
      <w:r w:rsidDel="00000000" w:rsidR="00000000" w:rsidRPr="00000000">
        <w:rPr>
          <w:rFonts w:ascii="Arial Narrow" w:cs="Arial Narrow" w:eastAsia="Arial Narrow" w:hAnsi="Arial Narrow"/>
          <w:i w:val="1"/>
          <w:sz w:val="24"/>
          <w:szCs w:val="24"/>
          <w:rtl w:val="0"/>
        </w:rPr>
        <w:t xml:space="preserve">govtech</w:t>
      </w:r>
      <w:r w:rsidDel="00000000" w:rsidR="00000000" w:rsidRPr="00000000">
        <w:rPr>
          <w:rFonts w:ascii="Arial Narrow" w:cs="Arial Narrow" w:eastAsia="Arial Narrow" w:hAnsi="Arial Narrow"/>
          <w:sz w:val="24"/>
          <w:szCs w:val="24"/>
          <w:rtl w:val="0"/>
        </w:rPr>
        <w:t xml:space="preserve">, para tener visibilidad de cuántas </w:t>
      </w:r>
      <w:r w:rsidDel="00000000" w:rsidR="00000000" w:rsidRPr="00000000">
        <w:rPr>
          <w:rFonts w:ascii="Arial Narrow" w:cs="Arial Narrow" w:eastAsia="Arial Narrow" w:hAnsi="Arial Narrow"/>
          <w:i w:val="1"/>
          <w:sz w:val="24"/>
          <w:szCs w:val="24"/>
          <w:rtl w:val="0"/>
        </w:rPr>
        <w:t xml:space="preserve">startups</w:t>
      </w:r>
      <w:r w:rsidDel="00000000" w:rsidR="00000000" w:rsidRPr="00000000">
        <w:rPr>
          <w:rFonts w:ascii="Arial Narrow" w:cs="Arial Narrow" w:eastAsia="Arial Narrow" w:hAnsi="Arial Narrow"/>
          <w:sz w:val="24"/>
          <w:szCs w:val="24"/>
          <w:rtl w:val="0"/>
        </w:rPr>
        <w:t xml:space="preserve"> de este tipo hay  y, específicamente a qué dedican sus esfuerzos,  que metodologías generan y qué tipo de soporte a través de guías prácticas ofrecen a  los gobiernos que quieran iniciarse en estos  retos  (datatones, hackatones, etc). Así mismo, el observatorio  permitirá crear interacción entre empresas y entes gubernamentales, además de integrar una </w:t>
      </w:r>
      <w:r w:rsidDel="00000000" w:rsidR="00000000" w:rsidRPr="00000000">
        <w:rPr>
          <w:rFonts w:ascii="Arial Narrow" w:cs="Arial Narrow" w:eastAsia="Arial Narrow" w:hAnsi="Arial Narrow"/>
          <w:i w:val="1"/>
          <w:sz w:val="24"/>
          <w:szCs w:val="24"/>
          <w:rtl w:val="0"/>
        </w:rPr>
        <w:t xml:space="preserve">suite</w:t>
      </w:r>
      <w:r w:rsidDel="00000000" w:rsidR="00000000" w:rsidRPr="00000000">
        <w:rPr>
          <w:rFonts w:ascii="Arial Narrow" w:cs="Arial Narrow" w:eastAsia="Arial Narrow" w:hAnsi="Arial Narrow"/>
          <w:sz w:val="24"/>
          <w:szCs w:val="24"/>
          <w:rtl w:val="0"/>
        </w:rPr>
        <w:t xml:space="preserve"> de soluciones de compra pública para la adquisición de soluciones.</w:t>
      </w:r>
    </w:p>
    <w:p w:rsidR="00000000" w:rsidDel="00000000" w:rsidP="00000000" w:rsidRDefault="00000000" w:rsidRPr="00000000" w14:paraId="0000001D">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sz w:val="24"/>
          <w:szCs w:val="24"/>
        </w:rPr>
      </w:pPr>
      <w:r w:rsidDel="00000000" w:rsidR="00000000" w:rsidRPr="00000000">
        <w:rPr>
          <w:rFonts w:ascii="Arial Narrow" w:cs="Arial Narrow" w:eastAsia="Arial Narrow" w:hAnsi="Arial Narrow"/>
          <w:sz w:val="24"/>
          <w:szCs w:val="24"/>
          <w:rtl w:val="0"/>
        </w:rPr>
        <w:t xml:space="preserve">“CAF no sólo es un socio financiero de México, sino un aliado que hace propios sus desafíos en todos los ámbitos del desarrollo. Con estas acciones ratificamos nuestro compromiso con las mipymes y con los gobiernos que quieren acelerar la transformación digital”, Emilio Uquillas, representante de CAF en México.</w:t>
      </w:r>
      <w:r w:rsidDel="00000000" w:rsidR="00000000" w:rsidRPr="00000000">
        <w:rPr>
          <w:rtl w:val="0"/>
        </w:rPr>
      </w:r>
    </w:p>
    <w:p w:rsidR="00000000" w:rsidDel="00000000" w:rsidP="00000000" w:rsidRDefault="00000000" w:rsidRPr="00000000" w14:paraId="0000001F">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Adicionalmente, CAF tiene en su agenda la creación de un programa de financiamiento para empresas en fomento y apoyo a las </w:t>
      </w:r>
      <w:r w:rsidDel="00000000" w:rsidR="00000000" w:rsidRPr="00000000">
        <w:rPr>
          <w:rFonts w:ascii="Arial Narrow" w:cs="Arial Narrow" w:eastAsia="Arial Narrow" w:hAnsi="Arial Narrow"/>
          <w:i w:val="1"/>
          <w:sz w:val="24"/>
          <w:szCs w:val="24"/>
          <w:rtl w:val="0"/>
        </w:rPr>
        <w:t xml:space="preserve">govtech</w:t>
      </w:r>
      <w:r w:rsidDel="00000000" w:rsidR="00000000" w:rsidRPr="00000000">
        <w:rPr>
          <w:rFonts w:ascii="Arial Narrow" w:cs="Arial Narrow" w:eastAsia="Arial Narrow" w:hAnsi="Arial Narrow"/>
          <w:sz w:val="24"/>
          <w:szCs w:val="24"/>
          <w:rtl w:val="0"/>
        </w:rPr>
        <w:t xml:space="preserve">, que se convertirá en el primer programa de financiamiento de este tipo de empresas en la región.</w:t>
      </w:r>
    </w:p>
    <w:p w:rsidR="00000000" w:rsidDel="00000000" w:rsidP="00000000" w:rsidRDefault="00000000" w:rsidRPr="00000000" w14:paraId="00000021">
      <w:pPr>
        <w:rPr>
          <w:rFonts w:ascii="Arial Narrow" w:cs="Arial Narrow" w:eastAsia="Arial Narrow" w:hAnsi="Arial Narrow"/>
          <w:sz w:val="24"/>
          <w:szCs w:val="24"/>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2014538</wp:posOffset>
          </wp:positionH>
          <wp:positionV relativeFrom="paragraph">
            <wp:posOffset>-209549</wp:posOffset>
          </wp:positionV>
          <wp:extent cx="1913546" cy="5641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3546" cy="564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cioteca.caf.com/handle/123456789/1485" TargetMode="External"/><Relationship Id="rId5" Type="http://schemas.openxmlformats.org/officeDocument/2006/relationships/styles" Target="styles.xml"/><Relationship Id="rId6" Type="http://schemas.openxmlformats.org/officeDocument/2006/relationships/hyperlink" Target="https://scioteca.caf.com/handle/123456789/1580" TargetMode="External"/><Relationship Id="rId7" Type="http://schemas.openxmlformats.org/officeDocument/2006/relationships/hyperlink" Target="https://scioteca.caf.com/handle/123456789/1580" TargetMode="External"/><Relationship Id="rId8" Type="http://schemas.openxmlformats.org/officeDocument/2006/relationships/hyperlink" Target="https://scioteca.caf.com/handle/123456789/15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